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17E" w:rsidRDefault="00A900FE" w:rsidP="00D32ED8">
      <w:pPr>
        <w:pStyle w:val="Titre1"/>
        <w:jc w:val="center"/>
      </w:pPr>
      <w:r>
        <w:t>Des ossements dans la dune</w:t>
      </w:r>
      <w:r w:rsidR="003114EF">
        <w:t xml:space="preserve"> de Neiz Vran</w:t>
      </w:r>
      <w:r w:rsidR="004B1205">
        <w:t xml:space="preserve">. </w:t>
      </w:r>
    </w:p>
    <w:p w:rsidR="00FB1E07" w:rsidRDefault="00FB1E07" w:rsidP="00D32ED8">
      <w:pPr>
        <w:pStyle w:val="Titre2"/>
        <w:jc w:val="center"/>
      </w:pPr>
      <w:r>
        <w:t>Episode 1 : Les ossements de 2017</w:t>
      </w:r>
    </w:p>
    <w:p w:rsidR="003114EF" w:rsidRDefault="003114EF"/>
    <w:p w:rsidR="004D0C06" w:rsidRDefault="004D0C06">
      <w:r>
        <w:t xml:space="preserve">L’érosion dunaire </w:t>
      </w:r>
      <w:r w:rsidR="00586BBE">
        <w:t xml:space="preserve">est de plus en plus marquée. Elle </w:t>
      </w:r>
      <w:r>
        <w:t>permet  parfois de</w:t>
      </w:r>
      <w:r w:rsidR="00586BBE">
        <w:t xml:space="preserve"> faire remonter jusqu’à nous,  d</w:t>
      </w:r>
      <w:r>
        <w:t>es épisodes tragiques de notre histoire.</w:t>
      </w:r>
    </w:p>
    <w:p w:rsidR="00CB0767" w:rsidRDefault="003114EF">
      <w:r>
        <w:t xml:space="preserve">C’est </w:t>
      </w:r>
      <w:r w:rsidR="002A644C">
        <w:t xml:space="preserve"> dans ce contexte,</w:t>
      </w:r>
      <w:r w:rsidR="00D32ED8">
        <w:t xml:space="preserve"> </w:t>
      </w:r>
      <w:r w:rsidR="00CB0767">
        <w:t>qu</w:t>
      </w:r>
      <w:r w:rsidR="00705606">
        <w:t>e</w:t>
      </w:r>
      <w:r w:rsidR="002A644C">
        <w:t>,</w:t>
      </w:r>
      <w:r w:rsidR="00CB0767">
        <w:t xml:space="preserve"> </w:t>
      </w:r>
      <w:r>
        <w:t xml:space="preserve"> </w:t>
      </w:r>
      <w:r w:rsidR="00CB0767">
        <w:t>nous</w:t>
      </w:r>
      <w:r>
        <w:t xml:space="preserve"> promenant à  Neiz Vran, </w:t>
      </w:r>
      <w:r w:rsidR="00FC0DEA">
        <w:t>nous avons</w:t>
      </w:r>
      <w:r w:rsidR="00CB0767">
        <w:t xml:space="preserve"> détecté d</w:t>
      </w:r>
      <w:r>
        <w:t>es premiers ossements</w:t>
      </w:r>
      <w:r w:rsidR="00D32ED8">
        <w:t xml:space="preserve">, </w:t>
      </w:r>
      <w:r>
        <w:t xml:space="preserve"> en janvier 2017</w:t>
      </w:r>
      <w:r w:rsidR="00FB1E07">
        <w:t xml:space="preserve"> : Les os de la ceinture scapulaire  affleuraient dans la verticalité de la dune. </w:t>
      </w:r>
      <w:r w:rsidR="00C516A3">
        <w:t xml:space="preserve"> (Fig.1).</w:t>
      </w:r>
    </w:p>
    <w:p w:rsidR="00C516A3" w:rsidRDefault="00C516A3" w:rsidP="00C516A3">
      <w:pPr>
        <w:keepNext/>
      </w:pPr>
      <w:r>
        <w:rPr>
          <w:noProof/>
          <w:lang w:eastAsia="fr-FR"/>
        </w:rPr>
        <w:drawing>
          <wp:inline distT="0" distB="0" distL="0" distR="0">
            <wp:extent cx="5762625" cy="3838575"/>
            <wp:effectExtent l="19050" t="0" r="9525" b="0"/>
            <wp:docPr id="4" name="Image 4" descr="D:\Users\Vist\Documents\ARCHEOLOGIE\RAPPORT ARTHUS\Squelette 2017\IMG_4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Vist\Documents\ARCHEOLOGIE\RAPPORT ARTHUS\Squelette 2017\IMG_4755.jpg"/>
                    <pic:cNvPicPr>
                      <a:picLocks noChangeAspect="1" noChangeArrowheads="1"/>
                    </pic:cNvPicPr>
                  </pic:nvPicPr>
                  <pic:blipFill>
                    <a:blip r:embed="rId5" cstate="print"/>
                    <a:srcRect/>
                    <a:stretch>
                      <a:fillRect/>
                    </a:stretch>
                  </pic:blipFill>
                  <pic:spPr bwMode="auto">
                    <a:xfrm>
                      <a:off x="0" y="0"/>
                      <a:ext cx="5762625" cy="3838575"/>
                    </a:xfrm>
                    <a:prstGeom prst="rect">
                      <a:avLst/>
                    </a:prstGeom>
                    <a:noFill/>
                    <a:ln w="9525">
                      <a:noFill/>
                      <a:miter lim="800000"/>
                      <a:headEnd/>
                      <a:tailEnd/>
                    </a:ln>
                  </pic:spPr>
                </pic:pic>
              </a:graphicData>
            </a:graphic>
          </wp:inline>
        </w:drawing>
      </w:r>
    </w:p>
    <w:p w:rsidR="00C516A3" w:rsidRDefault="00C516A3" w:rsidP="00C516A3">
      <w:pPr>
        <w:pStyle w:val="Lgende"/>
      </w:pPr>
      <w:r>
        <w:t xml:space="preserve">Figure </w:t>
      </w:r>
      <w:fldSimple w:instr=" SEQ Figure \* ARABIC ">
        <w:r>
          <w:rPr>
            <w:noProof/>
          </w:rPr>
          <w:t>1</w:t>
        </w:r>
      </w:fldSimple>
      <w:r>
        <w:t>: Ossements humains dans la dune de Neiz Vran</w:t>
      </w:r>
    </w:p>
    <w:p w:rsidR="00E17E18" w:rsidRDefault="00FB1E07">
      <w:r>
        <w:t>Après</w:t>
      </w:r>
      <w:r w:rsidR="00C62ABA">
        <w:t xml:space="preserve"> être intervenus,</w:t>
      </w:r>
      <w:r>
        <w:t xml:space="preserve"> et </w:t>
      </w:r>
      <w:r w:rsidR="00C62ABA">
        <w:t xml:space="preserve">avoir </w:t>
      </w:r>
      <w:r w:rsidR="00C516A3">
        <w:t xml:space="preserve"> éliminé une éventuelle </w:t>
      </w:r>
      <w:r w:rsidR="00C62ABA">
        <w:t xml:space="preserve"> scène de crime, </w:t>
      </w:r>
      <w:r>
        <w:t>les gendarmes ont procé</w:t>
      </w:r>
      <w:r w:rsidR="004D0C06">
        <w:t xml:space="preserve">dé à l’extraction du </w:t>
      </w:r>
      <w:r w:rsidR="0076147C">
        <w:t xml:space="preserve">squelette. </w:t>
      </w:r>
      <w:r w:rsidR="004D0C06">
        <w:t>Le rapport indiquait ceci :</w:t>
      </w:r>
    </w:p>
    <w:p w:rsidR="00E17E18" w:rsidRPr="00FC0DEA" w:rsidRDefault="00E17E18">
      <w:pPr>
        <w:rPr>
          <w:b/>
          <w:i/>
        </w:rPr>
      </w:pPr>
      <w:r w:rsidRPr="00FC0DEA">
        <w:rPr>
          <w:b/>
          <w:i/>
          <w:sz w:val="20"/>
          <w:szCs w:val="20"/>
        </w:rPr>
        <w:t>Il était positionné en connexion anatomique, en position de décubitus ventral, le corps orienté au nord, jambes fléchies sur le côté droit, déposé en fosse. Il manquait la tête. La fosse avait été creusée dans la dune, à 2 m. environ de la surface supérieure, sous une couche de sédimentation d’origine éolienne, laquelle est sous une importante couche de remblais contenant des déchets contemporains</w:t>
      </w:r>
      <w:r w:rsidR="004D0C06">
        <w:rPr>
          <w:b/>
          <w:i/>
          <w:sz w:val="20"/>
          <w:szCs w:val="20"/>
        </w:rPr>
        <w:t>.</w:t>
      </w:r>
    </w:p>
    <w:p w:rsidR="003114EF" w:rsidRDefault="00CB0767">
      <w:r>
        <w:t xml:space="preserve"> Une </w:t>
      </w:r>
      <w:r w:rsidR="00FB1E07">
        <w:t xml:space="preserve">analyse au carbone 14, </w:t>
      </w:r>
      <w:r>
        <w:t xml:space="preserve">a été effectuée. Elle </w:t>
      </w:r>
      <w:r w:rsidR="00FB1E07">
        <w:t>n’a pas</w:t>
      </w:r>
      <w:r w:rsidR="00FC0DEA">
        <w:t xml:space="preserve"> été </w:t>
      </w:r>
      <w:r w:rsidR="00FB1E07">
        <w:t>probant</w:t>
      </w:r>
      <w:r>
        <w:t>e</w:t>
      </w:r>
      <w:r w:rsidR="00FB1E07">
        <w:t xml:space="preserve"> dans ce cas, car l</w:t>
      </w:r>
      <w:r w:rsidR="002A644C">
        <w:t>a fourchette de datation  estimée était trop large pour la période concernée : Entre</w:t>
      </w:r>
      <w:r w:rsidR="00FB1E07">
        <w:t xml:space="preserve"> 16</w:t>
      </w:r>
      <w:r w:rsidR="00E17E18">
        <w:t xml:space="preserve">00 </w:t>
      </w:r>
      <w:r w:rsidR="00FB1E07">
        <w:t>et nos jours.</w:t>
      </w:r>
    </w:p>
    <w:p w:rsidR="00A44764" w:rsidRDefault="00A44764">
      <w:r>
        <w:t>Le service  gendarmerie a ensuite remis les ossements au service d’archéologie.</w:t>
      </w:r>
    </w:p>
    <w:p w:rsidR="00A44764" w:rsidRDefault="004D0C06">
      <w:r>
        <w:lastRenderedPageBreak/>
        <w:t>C’est  le 26 mars 2018</w:t>
      </w:r>
      <w:r w:rsidR="008614AA">
        <w:t xml:space="preserve"> que nous </w:t>
      </w:r>
      <w:r w:rsidR="00A44764">
        <w:t xml:space="preserve">avons pu analyser ces </w:t>
      </w:r>
      <w:r w:rsidR="0076147C">
        <w:t>ossements,</w:t>
      </w:r>
      <w:r w:rsidR="00A44764">
        <w:t xml:space="preserve"> dans le cadre du service départemental d’archéologie du Faou.</w:t>
      </w:r>
      <w:r w:rsidR="00BE51EC">
        <w:t xml:space="preserve"> (1).</w:t>
      </w:r>
    </w:p>
    <w:p w:rsidR="00A44764" w:rsidRDefault="00A44764">
      <w:r>
        <w:t>Le s</w:t>
      </w:r>
      <w:r w:rsidR="00AF6101">
        <w:t>quelette était presque entier :</w:t>
      </w:r>
      <w:r>
        <w:t xml:space="preserve"> Il ne manquait que le crâne, le radius droit, et une partie du fémur droit qui était cassé.</w:t>
      </w:r>
    </w:p>
    <w:p w:rsidR="00AF6101" w:rsidRDefault="00AF6101">
      <w:r>
        <w:t>Les archéologues signalaient</w:t>
      </w:r>
      <w:r w:rsidR="00C516A3">
        <w:t>,</w:t>
      </w:r>
      <w:r>
        <w:t xml:space="preserve"> la rareté de récupération </w:t>
      </w:r>
      <w:r w:rsidR="0076147C">
        <w:t>d’ossements</w:t>
      </w:r>
      <w:r>
        <w:t>, en Bretagne, en raison de l’acidité des sols. Ici, l’enfouiss</w:t>
      </w:r>
      <w:r w:rsidR="00D57674">
        <w:t xml:space="preserve">ement dans un contexte sableux </w:t>
      </w:r>
      <w:r>
        <w:t>et sec</w:t>
      </w:r>
      <w:r w:rsidR="00C516A3">
        <w:t xml:space="preserve">, </w:t>
      </w:r>
      <w:r>
        <w:t xml:space="preserve"> a permis leur  bonne conservation.</w:t>
      </w:r>
    </w:p>
    <w:p w:rsidR="008D538F" w:rsidRDefault="00A44764">
      <w:r>
        <w:t>L’examen des os  montrait des indices forts</w:t>
      </w:r>
      <w:r w:rsidR="002A644C">
        <w:t xml:space="preserve">, </w:t>
      </w:r>
      <w:r>
        <w:t xml:space="preserve"> en faveur </w:t>
      </w:r>
      <w:r w:rsidR="008D538F">
        <w:t>d’un individu de sexe masculin. Les dimensions du bassin, certaines proportions, et la forme des trous</w:t>
      </w:r>
      <w:r w:rsidR="002A644C">
        <w:t xml:space="preserve"> obturateur</w:t>
      </w:r>
      <w:r w:rsidR="008D538F">
        <w:t xml:space="preserve">s </w:t>
      </w:r>
      <w:r w:rsidR="002A644C">
        <w:t xml:space="preserve"> </w:t>
      </w:r>
      <w:r w:rsidR="008D538F">
        <w:t xml:space="preserve">plus </w:t>
      </w:r>
      <w:r w:rsidR="0076147C">
        <w:t>ovalaires,</w:t>
      </w:r>
      <w:r w:rsidR="008D538F">
        <w:t xml:space="preserve"> permettent d’orienter dans ce sens</w:t>
      </w:r>
      <w:r w:rsidR="00BE51EC">
        <w:t xml:space="preserve"> (2</w:t>
      </w:r>
      <w:r w:rsidR="000D3467">
        <w:t>)</w:t>
      </w:r>
      <w:r w:rsidR="008D538F">
        <w:t>. (</w:t>
      </w:r>
      <w:r w:rsidR="00C516A3">
        <w:t>Fig2</w:t>
      </w:r>
      <w:r w:rsidR="008D538F">
        <w:t xml:space="preserve">). </w:t>
      </w:r>
    </w:p>
    <w:p w:rsidR="008D538F" w:rsidRDefault="008D538F" w:rsidP="008D538F">
      <w:pPr>
        <w:keepNext/>
      </w:pPr>
      <w:r>
        <w:rPr>
          <w:noProof/>
          <w:lang w:eastAsia="fr-FR"/>
        </w:rPr>
        <w:drawing>
          <wp:inline distT="0" distB="0" distL="0" distR="0">
            <wp:extent cx="4391025" cy="2924931"/>
            <wp:effectExtent l="19050" t="0" r="9525" b="0"/>
            <wp:docPr id="1" name="Image 1" descr="D:\Users\Vist\Documents\ARCHEOLOGIE\RAPPORT ARTHUS\Examen 26 mars 2017\Iliq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Vist\Documents\ARCHEOLOGIE\RAPPORT ARTHUS\Examen 26 mars 2017\Iliques.JPG"/>
                    <pic:cNvPicPr>
                      <a:picLocks noChangeAspect="1" noChangeArrowheads="1"/>
                    </pic:cNvPicPr>
                  </pic:nvPicPr>
                  <pic:blipFill>
                    <a:blip r:embed="rId6" cstate="print"/>
                    <a:srcRect/>
                    <a:stretch>
                      <a:fillRect/>
                    </a:stretch>
                  </pic:blipFill>
                  <pic:spPr bwMode="auto">
                    <a:xfrm>
                      <a:off x="0" y="0"/>
                      <a:ext cx="4391025" cy="2924931"/>
                    </a:xfrm>
                    <a:prstGeom prst="rect">
                      <a:avLst/>
                    </a:prstGeom>
                    <a:noFill/>
                    <a:ln w="9525">
                      <a:noFill/>
                      <a:miter lim="800000"/>
                      <a:headEnd/>
                      <a:tailEnd/>
                    </a:ln>
                  </pic:spPr>
                </pic:pic>
              </a:graphicData>
            </a:graphic>
          </wp:inline>
        </w:drawing>
      </w:r>
    </w:p>
    <w:p w:rsidR="008D538F" w:rsidRDefault="008D538F" w:rsidP="008D538F">
      <w:pPr>
        <w:pStyle w:val="Lgende"/>
      </w:pPr>
      <w:r>
        <w:t xml:space="preserve">Figure </w:t>
      </w:r>
      <w:fldSimple w:instr=" SEQ Figure \* ARABIC ">
        <w:r w:rsidR="00C516A3">
          <w:rPr>
            <w:noProof/>
          </w:rPr>
          <w:t>2</w:t>
        </w:r>
      </w:fldSimple>
      <w:r>
        <w:t>: Le bassin avec ses deux iliums.</w:t>
      </w:r>
    </w:p>
    <w:p w:rsidR="008D538F" w:rsidRDefault="008D538F"/>
    <w:p w:rsidR="00FC0DEA" w:rsidRDefault="00FC0DEA">
      <w:r>
        <w:t xml:space="preserve">La </w:t>
      </w:r>
      <w:r w:rsidR="00A44764">
        <w:t xml:space="preserve"> stature </w:t>
      </w:r>
      <w:r>
        <w:t xml:space="preserve">a été estimée à </w:t>
      </w:r>
      <w:r w:rsidR="00A44764">
        <w:t xml:space="preserve">1m 72 environ. </w:t>
      </w:r>
      <w:r w:rsidR="00C62ABA">
        <w:t>Le calcul s</w:t>
      </w:r>
      <w:r>
        <w:t>e fait d’après la mesure des os longs</w:t>
      </w:r>
      <w:r w:rsidR="00BE51EC">
        <w:t xml:space="preserve"> (3</w:t>
      </w:r>
      <w:r w:rsidR="000D3467">
        <w:t>)</w:t>
      </w:r>
      <w:r>
        <w:t>.</w:t>
      </w:r>
    </w:p>
    <w:p w:rsidR="00FC0DEA" w:rsidRDefault="00BC7DB2">
      <w:r>
        <w:t xml:space="preserve">L’âge peut être estimé entre 25 et 28 ans. </w:t>
      </w:r>
      <w:r w:rsidR="00FC0DEA">
        <w:t>Ceci se fait en fonction du degré d’usure de l’articulation entre les deux iliums, la symphyse pubienne.</w:t>
      </w:r>
    </w:p>
    <w:p w:rsidR="00FC0DEA" w:rsidRDefault="00FC0DEA"/>
    <w:p w:rsidR="00FC0DEA" w:rsidRDefault="00C62ABA">
      <w:r>
        <w:t xml:space="preserve">La très bonne qualité </w:t>
      </w:r>
      <w:r w:rsidR="008614AA">
        <w:t xml:space="preserve"> et le bon développement des apophyses osseuses, montrai</w:t>
      </w:r>
      <w:r>
        <w:t>en</w:t>
      </w:r>
      <w:r w:rsidR="008614AA">
        <w:t>t qu’</w:t>
      </w:r>
      <w:r w:rsidR="00FC0DEA">
        <w:t>Il s’agissait c</w:t>
      </w:r>
      <w:r w:rsidR="00BC7DB2">
        <w:t>ertainement d’</w:t>
      </w:r>
      <w:r w:rsidR="00FC0DEA">
        <w:t>un individu à la</w:t>
      </w:r>
      <w:r w:rsidR="00BC7DB2">
        <w:t xml:space="preserve"> musculature forte.  Il n’existait pas d’arthrose, et pas d’anomalies majeures. L’examen asymétrique des sacro-iliaques indiquait plutôt un individu droitier du membre inférieur à droite. </w:t>
      </w:r>
    </w:p>
    <w:p w:rsidR="00705606" w:rsidRDefault="00FC0DEA">
      <w:r>
        <w:t>Petite curiosité anatomique, il</w:t>
      </w:r>
      <w:r w:rsidR="00BC7DB2">
        <w:t xml:space="preserve"> existait une toute petite anomalie du sacrum, avec fermeture incom</w:t>
      </w:r>
      <w:r>
        <w:t xml:space="preserve">plète </w:t>
      </w:r>
      <w:r w:rsidR="00061E5E">
        <w:t xml:space="preserve">au niveau de </w:t>
      </w:r>
      <w:r>
        <w:t>l’arc postérieur de S1</w:t>
      </w:r>
      <w:r w:rsidR="00705606">
        <w:t xml:space="preserve">, un </w:t>
      </w:r>
      <w:r w:rsidR="0076147C">
        <w:t>Spina</w:t>
      </w:r>
      <w:r w:rsidR="00705606">
        <w:t xml:space="preserve"> bifida</w:t>
      </w:r>
      <w:r w:rsidR="00061E5E">
        <w:t xml:space="preserve"> occulta</w:t>
      </w:r>
      <w:r>
        <w:t> :</w:t>
      </w:r>
      <w:r w:rsidR="00BC7DB2">
        <w:t xml:space="preserve"> Ceci éta</w:t>
      </w:r>
      <w:r>
        <w:t>n</w:t>
      </w:r>
      <w:r w:rsidR="00BC7DB2">
        <w:t>t sans conséquence fonctionnelle.</w:t>
      </w:r>
    </w:p>
    <w:p w:rsidR="00FC0DEA" w:rsidRDefault="00FC0DEA">
      <w:r>
        <w:lastRenderedPageBreak/>
        <w:t>(</w:t>
      </w:r>
      <w:r w:rsidR="00BC7DB2">
        <w:t xml:space="preserve"> </w:t>
      </w:r>
      <w:r w:rsidR="00C516A3">
        <w:t>Fig3</w:t>
      </w:r>
      <w:r>
        <w:t>).</w:t>
      </w:r>
    </w:p>
    <w:p w:rsidR="00FC0DEA" w:rsidRDefault="00FC0DEA" w:rsidP="00FC0DEA">
      <w:pPr>
        <w:keepNext/>
      </w:pPr>
      <w:r>
        <w:rPr>
          <w:noProof/>
          <w:lang w:eastAsia="fr-FR"/>
        </w:rPr>
        <w:drawing>
          <wp:inline distT="0" distB="0" distL="0" distR="0">
            <wp:extent cx="5114925" cy="3407132"/>
            <wp:effectExtent l="19050" t="0" r="9525" b="0"/>
            <wp:docPr id="3" name="Image 3" descr="D:\Users\Vist\Documents\ARCHEOLOGIE\RAPPORT ARTHUS\Examen 26 mars 2017\Sac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Vist\Documents\ARCHEOLOGIE\RAPPORT ARTHUS\Examen 26 mars 2017\Sacrum.JPG"/>
                    <pic:cNvPicPr>
                      <a:picLocks noChangeAspect="1" noChangeArrowheads="1"/>
                    </pic:cNvPicPr>
                  </pic:nvPicPr>
                  <pic:blipFill>
                    <a:blip r:embed="rId7" cstate="print"/>
                    <a:srcRect/>
                    <a:stretch>
                      <a:fillRect/>
                    </a:stretch>
                  </pic:blipFill>
                  <pic:spPr bwMode="auto">
                    <a:xfrm>
                      <a:off x="0" y="0"/>
                      <a:ext cx="5114925" cy="3407132"/>
                    </a:xfrm>
                    <a:prstGeom prst="rect">
                      <a:avLst/>
                    </a:prstGeom>
                    <a:noFill/>
                    <a:ln w="9525">
                      <a:noFill/>
                      <a:miter lim="800000"/>
                      <a:headEnd/>
                      <a:tailEnd/>
                    </a:ln>
                  </pic:spPr>
                </pic:pic>
              </a:graphicData>
            </a:graphic>
          </wp:inline>
        </w:drawing>
      </w:r>
    </w:p>
    <w:p w:rsidR="00FC0DEA" w:rsidRDefault="00FC0DEA" w:rsidP="00FC0DEA">
      <w:pPr>
        <w:pStyle w:val="Lgende"/>
      </w:pPr>
      <w:r>
        <w:t xml:space="preserve">Figure </w:t>
      </w:r>
      <w:fldSimple w:instr=" SEQ Figure \* ARABIC ">
        <w:r w:rsidR="00C516A3">
          <w:rPr>
            <w:noProof/>
          </w:rPr>
          <w:t>3</w:t>
        </w:r>
      </w:fldSimple>
      <w:r>
        <w:t>: Le sacrum et l'absence de soudure de l'arc postérieur de S1 (qui est cassé)</w:t>
      </w:r>
    </w:p>
    <w:p w:rsidR="00FC0DEA" w:rsidRDefault="00FC0DEA"/>
    <w:p w:rsidR="00A44764" w:rsidRDefault="00BC7DB2">
      <w:r>
        <w:t>Enfin l’angle d’antéversi</w:t>
      </w:r>
      <w:r w:rsidR="00BE51EC">
        <w:t xml:space="preserve">on très prononcé du fémur, qui  est </w:t>
      </w:r>
      <w:r>
        <w:t xml:space="preserve"> de 20°, pouvait </w:t>
      </w:r>
      <w:r w:rsidR="00C516A3">
        <w:t>être en adéquation avec</w:t>
      </w:r>
      <w:r>
        <w:t xml:space="preserve"> </w:t>
      </w:r>
      <w:r w:rsidR="00C516A3">
        <w:t>une pratique assidue de</w:t>
      </w:r>
      <w:r w:rsidR="00FC0DEA">
        <w:t xml:space="preserve"> l’équitation.</w:t>
      </w:r>
    </w:p>
    <w:p w:rsidR="00C516A3" w:rsidRDefault="00C516A3">
      <w:r>
        <w:t xml:space="preserve">Si nous n’en avons </w:t>
      </w:r>
      <w:r w:rsidR="0052561E">
        <w:t xml:space="preserve">pour l’instant, </w:t>
      </w:r>
      <w:r>
        <w:t xml:space="preserve">aucune certitude absolue, ces ossements seraient à mettre en relation avec un naufrage. Celui de l’Indian serait le plus </w:t>
      </w:r>
      <w:r w:rsidR="003F4913">
        <w:t>plausible. Ce navire  anglais a</w:t>
      </w:r>
      <w:r>
        <w:t xml:space="preserve"> sombré à Karreg Hir en 18</w:t>
      </w:r>
      <w:r w:rsidR="004B1205">
        <w:t>17</w:t>
      </w:r>
      <w:r>
        <w:t>. Il y avait eu 143 morts, sur les 183 passagers que com</w:t>
      </w:r>
      <w:r w:rsidR="008614AA">
        <w:t>ptait le navire. Les autres n’avaien</w:t>
      </w:r>
      <w:r>
        <w:t>t pas été retrouvés.</w:t>
      </w:r>
      <w:r w:rsidR="00483885">
        <w:t xml:space="preserve"> On peut relire avec profit, cette histoire dans </w:t>
      </w:r>
      <w:r w:rsidR="004B1205">
        <w:t>no</w:t>
      </w:r>
      <w:r w:rsidR="00F86EFC">
        <w:t>s</w:t>
      </w:r>
      <w:r w:rsidR="004B1205">
        <w:t xml:space="preserve"> </w:t>
      </w:r>
      <w:r w:rsidR="00483885">
        <w:t>bulletin</w:t>
      </w:r>
      <w:r w:rsidR="00F86EFC">
        <w:t>s</w:t>
      </w:r>
      <w:r w:rsidR="00483885">
        <w:t xml:space="preserve">  E&amp;P </w:t>
      </w:r>
      <w:r w:rsidR="00F86EFC">
        <w:t xml:space="preserve">N° 95 et </w:t>
      </w:r>
      <w:r w:rsidR="00483885">
        <w:t>N°</w:t>
      </w:r>
      <w:r w:rsidR="004B1205">
        <w:t xml:space="preserve">101 </w:t>
      </w:r>
      <w:r w:rsidR="00BE51EC">
        <w:t>(4</w:t>
      </w:r>
      <w:r w:rsidR="008614AA">
        <w:t>)</w:t>
      </w:r>
      <w:r w:rsidR="00BE51EC">
        <w:t>(5</w:t>
      </w:r>
      <w:r w:rsidR="0093486D">
        <w:t>)</w:t>
      </w:r>
      <w:r w:rsidR="008614AA">
        <w:t>.</w:t>
      </w:r>
    </w:p>
    <w:p w:rsidR="00C516A3" w:rsidRDefault="00C516A3">
      <w:r>
        <w:t>Cette piste serait confortée par la deuxième découverte, que nous avons faite en janvier 2018, à quelque</w:t>
      </w:r>
      <w:r w:rsidR="00483885">
        <w:t>s mètres de là : Il s’agissait d’ossements</w:t>
      </w:r>
      <w:r w:rsidR="008614AA">
        <w:t>,</w:t>
      </w:r>
      <w:r w:rsidR="00483885">
        <w:t xml:space="preserve"> d’au moins trois à quatre individus.</w:t>
      </w:r>
    </w:p>
    <w:p w:rsidR="000F25AD" w:rsidRDefault="00666382" w:rsidP="00F86EFC">
      <w:r>
        <w:t>Ainsi, b</w:t>
      </w:r>
      <w:r w:rsidR="00F86EFC">
        <w:t>on nombre  d’individus, des naufragés, ont été, de tous temps et  par obligation, enterré</w:t>
      </w:r>
      <w:r w:rsidR="00C62ABA">
        <w:t>s</w:t>
      </w:r>
      <w:r w:rsidR="00F86EFC">
        <w:t xml:space="preserve">  sur nos  côtes, au plus près des lieux du drame. </w:t>
      </w:r>
    </w:p>
    <w:p w:rsidR="00F86EFC" w:rsidRDefault="00C62ABA" w:rsidP="00F86EFC">
      <w:r>
        <w:t xml:space="preserve">S’agissant de </w:t>
      </w:r>
      <w:r w:rsidR="0076147C">
        <w:t>l’Indian</w:t>
      </w:r>
      <w:r w:rsidR="00F86EFC">
        <w:t>, nous savons qu’il y a eu 14</w:t>
      </w:r>
      <w:r w:rsidR="0052561E">
        <w:t>3 cadavres rejetés sur la côte.</w:t>
      </w:r>
    </w:p>
    <w:p w:rsidR="00F86EFC" w:rsidRDefault="00F86EFC" w:rsidP="00F86EFC">
      <w:r>
        <w:t>Où ont-don</w:t>
      </w:r>
      <w:r w:rsidR="00666382">
        <w:t>c</w:t>
      </w:r>
      <w:r>
        <w:t xml:space="preserve"> été inhumés tous ces corps ?</w:t>
      </w:r>
    </w:p>
    <w:p w:rsidR="0052561E" w:rsidRDefault="00666382" w:rsidP="00C62ABA">
      <w:pPr>
        <w:pStyle w:val="Paragraphedeliste"/>
        <w:numPr>
          <w:ilvl w:val="0"/>
          <w:numId w:val="4"/>
        </w:numPr>
      </w:pPr>
      <w:r>
        <w:t xml:space="preserve">Dans le cimetière de Kerlouan ? </w:t>
      </w:r>
      <w:r w:rsidR="000F25AD">
        <w:t>Cela est peu probable</w:t>
      </w:r>
      <w:r>
        <w:t xml:space="preserve">, car à cette époque, </w:t>
      </w:r>
      <w:r w:rsidR="000F25AD">
        <w:t>sa surface était restreinte</w:t>
      </w:r>
      <w:r>
        <w:t xml:space="preserve">. Il fallut d’ailleurs quelques dizaines d’années plus tard, </w:t>
      </w:r>
      <w:r w:rsidR="00C62ABA">
        <w:t xml:space="preserve">réduire </w:t>
      </w:r>
      <w:r w:rsidR="000F25AD">
        <w:t xml:space="preserve">la surface de </w:t>
      </w:r>
      <w:r>
        <w:t xml:space="preserve"> l’église </w:t>
      </w:r>
      <w:r w:rsidR="00277E29">
        <w:t xml:space="preserve">paroissiale, pour </w:t>
      </w:r>
      <w:r w:rsidR="000F25AD">
        <w:t>pallier le manque de place</w:t>
      </w:r>
      <w:r w:rsidR="0076147C">
        <w:t>,</w:t>
      </w:r>
      <w:r>
        <w:t xml:space="preserve"> surtout après </w:t>
      </w:r>
      <w:r w:rsidR="000F25AD">
        <w:t>des</w:t>
      </w:r>
      <w:r w:rsidR="008529B4">
        <w:t xml:space="preserve"> période</w:t>
      </w:r>
      <w:r w:rsidR="000F25AD">
        <w:t>s</w:t>
      </w:r>
      <w:r w:rsidR="008529B4">
        <w:t xml:space="preserve"> </w:t>
      </w:r>
      <w:r w:rsidR="0076147C">
        <w:t>d’épidémies</w:t>
      </w:r>
      <w:r>
        <w:t xml:space="preserve">. </w:t>
      </w:r>
      <w:r w:rsidR="00C62ABA">
        <w:t>(</w:t>
      </w:r>
      <w:r w:rsidR="00BE51EC">
        <w:t>6</w:t>
      </w:r>
      <w:r w:rsidR="00C62ABA">
        <w:t xml:space="preserve">). </w:t>
      </w:r>
      <w:r>
        <w:t>De plus, nous l’avons, dit l’enterrement de corps de sujets</w:t>
      </w:r>
      <w:r w:rsidR="00C62ABA">
        <w:t>,</w:t>
      </w:r>
      <w:r>
        <w:t xml:space="preserve"> </w:t>
      </w:r>
      <w:r w:rsidR="0076147C">
        <w:t>à priori</w:t>
      </w:r>
      <w:r w:rsidR="00C62ABA">
        <w:t xml:space="preserve"> </w:t>
      </w:r>
      <w:r>
        <w:t xml:space="preserve">anglicans, </w:t>
      </w:r>
      <w:r w:rsidR="00C62ABA">
        <w:t xml:space="preserve">dans un espace catholique, </w:t>
      </w:r>
      <w:r>
        <w:t>n’ent</w:t>
      </w:r>
      <w:r w:rsidR="0052561E">
        <w:t>r</w:t>
      </w:r>
      <w:r w:rsidR="00C62ABA">
        <w:t>ai</w:t>
      </w:r>
      <w:r>
        <w:t>t pas dans les usages</w:t>
      </w:r>
      <w:r w:rsidR="0052561E">
        <w:t>, de l’époque</w:t>
      </w:r>
    </w:p>
    <w:p w:rsidR="00393F06" w:rsidRPr="008529B4" w:rsidRDefault="0052561E" w:rsidP="00393F06">
      <w:pPr>
        <w:pStyle w:val="Paragraphedeliste"/>
        <w:numPr>
          <w:ilvl w:val="0"/>
          <w:numId w:val="4"/>
        </w:numPr>
      </w:pPr>
      <w:r w:rsidRPr="008529B4">
        <w:lastRenderedPageBreak/>
        <w:t>Autour de</w:t>
      </w:r>
      <w:r w:rsidR="008529B4" w:rsidRPr="008529B4">
        <w:t xml:space="preserve"> Chapel-Christ, appelée </w:t>
      </w:r>
      <w:r w:rsidRPr="008529B4">
        <w:t xml:space="preserve"> la </w:t>
      </w:r>
      <w:r w:rsidR="00C62ABA" w:rsidRPr="008529B4">
        <w:t>« </w:t>
      </w:r>
      <w:r w:rsidRPr="008529B4">
        <w:t>chapelle des noyés</w:t>
      </w:r>
      <w:r w:rsidR="00C62ABA" w:rsidRPr="008529B4">
        <w:t> »</w:t>
      </w:r>
      <w:r w:rsidRPr="008529B4">
        <w:t xml:space="preserve">, </w:t>
      </w:r>
      <w:r w:rsidR="008529B4" w:rsidRPr="008529B4">
        <w:t>aujourd’hui disparue</w:t>
      </w:r>
      <w:r w:rsidRPr="008529B4">
        <w:t xml:space="preserve">, qui surplombait la plage </w:t>
      </w:r>
      <w:r w:rsidR="00BE51EC" w:rsidRPr="008529B4">
        <w:t>du Vougo, côté Plouguerneau ? (7</w:t>
      </w:r>
      <w:r w:rsidRPr="008529B4">
        <w:t>)</w:t>
      </w:r>
      <w:r w:rsidR="00393F06" w:rsidRPr="008529B4">
        <w:t xml:space="preserve">. </w:t>
      </w:r>
      <w:r w:rsidR="008529B4">
        <w:t xml:space="preserve">Certainement, pour une très grande partie d’entre eux. </w:t>
      </w:r>
      <w:r w:rsidR="00393F06" w:rsidRPr="008529B4">
        <w:t>On peut lire dans  l’article suivant, le</w:t>
      </w:r>
      <w:r w:rsidR="008529B4">
        <w:t>s</w:t>
      </w:r>
      <w:r w:rsidR="00393F06" w:rsidRPr="008529B4">
        <w:t xml:space="preserve"> témoign</w:t>
      </w:r>
      <w:r w:rsidR="008529B4" w:rsidRPr="008529B4">
        <w:t>age</w:t>
      </w:r>
      <w:r w:rsidR="008529B4">
        <w:t xml:space="preserve">s recueillis par </w:t>
      </w:r>
      <w:r w:rsidR="008529B4" w:rsidRPr="008529B4">
        <w:t>un écrivain de l’époque,  E</w:t>
      </w:r>
      <w:r w:rsidR="00393F06" w:rsidRPr="008529B4">
        <w:t>. Souvestre(8).</w:t>
      </w:r>
    </w:p>
    <w:p w:rsidR="009326AA" w:rsidRDefault="00380F84" w:rsidP="0014094F">
      <w:pPr>
        <w:pStyle w:val="Paragraphedeliste"/>
        <w:numPr>
          <w:ilvl w:val="0"/>
          <w:numId w:val="4"/>
        </w:numPr>
      </w:pPr>
      <w:r w:rsidRPr="008529B4">
        <w:t xml:space="preserve">A Kerlouan, dans </w:t>
      </w:r>
      <w:r w:rsidR="009326AA" w:rsidRPr="008529B4">
        <w:t xml:space="preserve"> le </w:t>
      </w:r>
      <w:r w:rsidR="00C62ABA" w:rsidRPr="008529B4">
        <w:t>« </w:t>
      </w:r>
      <w:r w:rsidR="009326AA" w:rsidRPr="008529B4">
        <w:t>champ des anglais</w:t>
      </w:r>
      <w:r w:rsidR="008529B4" w:rsidRPr="008529B4">
        <w:t> </w:t>
      </w:r>
      <w:r w:rsidR="0076147C" w:rsidRPr="008529B4">
        <w:t>»,</w:t>
      </w:r>
      <w:r w:rsidR="008529B4">
        <w:t xml:space="preserve"> au Cremiou, </w:t>
      </w:r>
      <w:r>
        <w:t xml:space="preserve"> qui aur</w:t>
      </w:r>
      <w:r w:rsidR="009326AA">
        <w:t xml:space="preserve">ait ainsi </w:t>
      </w:r>
      <w:r>
        <w:t xml:space="preserve">été </w:t>
      </w:r>
      <w:r w:rsidR="009326AA">
        <w:t xml:space="preserve">nommé </w:t>
      </w:r>
      <w:r w:rsidR="008529B4">
        <w:t>à cette occasion</w:t>
      </w:r>
      <w:r w:rsidR="009326AA">
        <w:t xml:space="preserve">? </w:t>
      </w:r>
      <w:r w:rsidR="001C72F7">
        <w:t xml:space="preserve"> Certainement aussi, car d</w:t>
      </w:r>
      <w:r w:rsidR="009326AA">
        <w:t xml:space="preserve">es ossements  nombreux, y </w:t>
      </w:r>
      <w:r w:rsidR="001C72F7">
        <w:t>ont été découverts</w:t>
      </w:r>
      <w:r w:rsidR="00BE51EC">
        <w:t>.</w:t>
      </w:r>
    </w:p>
    <w:p w:rsidR="009326AA" w:rsidRDefault="009326AA" w:rsidP="0014094F">
      <w:pPr>
        <w:pStyle w:val="Paragraphedeliste"/>
        <w:numPr>
          <w:ilvl w:val="0"/>
          <w:numId w:val="4"/>
        </w:numPr>
      </w:pPr>
      <w:r>
        <w:t xml:space="preserve">Enfin autour de l’ancienne chapelle du Lerret, où existait un cimetière ancien ? </w:t>
      </w:r>
      <w:r w:rsidR="001C72F7">
        <w:t xml:space="preserve">Cela est aussi très possible, et </w:t>
      </w:r>
      <w:r>
        <w:t>confirmé</w:t>
      </w:r>
      <w:r w:rsidR="001C72F7">
        <w:t xml:space="preserve"> par des transmissions </w:t>
      </w:r>
      <w:r w:rsidR="0076147C">
        <w:t xml:space="preserve">orales. </w:t>
      </w:r>
      <w:r>
        <w:t>Le lieu d’inhumation est situé à moins de 2 Km du lieu du naufrage.</w:t>
      </w:r>
      <w:r w:rsidR="00666382">
        <w:t xml:space="preserve"> </w:t>
      </w:r>
    </w:p>
    <w:p w:rsidR="009326AA" w:rsidRDefault="00C62ABA" w:rsidP="00F86EFC">
      <w:r>
        <w:t xml:space="preserve">Il est fort vraisemblable </w:t>
      </w:r>
      <w:r w:rsidR="00FD2372">
        <w:t xml:space="preserve"> que nos ancêtres aient eu à gérer, dans un premier temps,  des inhumations d’urgence, </w:t>
      </w:r>
      <w:r w:rsidR="0014094F">
        <w:t xml:space="preserve">et en grand nombre, </w:t>
      </w:r>
      <w:r w:rsidR="00FD2372">
        <w:t>dan</w:t>
      </w:r>
      <w:r>
        <w:t xml:space="preserve">s des fosses de cimetières ou </w:t>
      </w:r>
      <w:r w:rsidR="00FD2372">
        <w:t>ailleurs.</w:t>
      </w:r>
    </w:p>
    <w:p w:rsidR="00FD2372" w:rsidRDefault="00FD2372" w:rsidP="00F86EFC">
      <w:r>
        <w:t>Ils ont d</w:t>
      </w:r>
      <w:r w:rsidR="001C72F7">
        <w:t xml:space="preserve">û dans un second temps, </w:t>
      </w:r>
      <w:r>
        <w:t xml:space="preserve">s’occuper </w:t>
      </w:r>
      <w:r w:rsidR="0076147C">
        <w:t>d’inhumations</w:t>
      </w:r>
      <w:r>
        <w:t xml:space="preserve"> plus sporadiques, en fonction des échouages  plus tardifs, des corps naufragés sur les plages.</w:t>
      </w:r>
      <w:r w:rsidR="000F25AD">
        <w:t xml:space="preserve">  L’urgence de l’ensevelissement,  pouvait se justifier par l’état de décomposition plus avancé des corps.</w:t>
      </w:r>
      <w:r>
        <w:t xml:space="preserve"> C’est dans ce</w:t>
      </w:r>
      <w:r w:rsidR="000F25AD">
        <w:t>s</w:t>
      </w:r>
      <w:r>
        <w:t xml:space="preserve"> contexte</w:t>
      </w:r>
      <w:r w:rsidR="000F25AD">
        <w:t>s</w:t>
      </w:r>
      <w:r>
        <w:t>,  que les enfouissements dans les dunes, auraient pu se produire.</w:t>
      </w:r>
    </w:p>
    <w:p w:rsidR="00666382" w:rsidRDefault="00BB34DB" w:rsidP="00F86EFC">
      <w:r>
        <w:t>Dans</w:t>
      </w:r>
      <w:r w:rsidR="00C62ABA">
        <w:t xml:space="preserve"> de nombreux cas, </w:t>
      </w:r>
      <w:r w:rsidR="00E30583">
        <w:t>on a relaté</w:t>
      </w:r>
      <w:r w:rsidR="00C62ABA">
        <w:t xml:space="preserve"> </w:t>
      </w:r>
      <w:r>
        <w:t xml:space="preserve"> que les habits</w:t>
      </w:r>
      <w:r w:rsidR="00C62ABA">
        <w:t>,</w:t>
      </w:r>
      <w:r>
        <w:t xml:space="preserve"> et les biens des noyés, servaient </w:t>
      </w:r>
      <w:r w:rsidR="00715495">
        <w:t>à dédommager</w:t>
      </w:r>
      <w:r w:rsidR="00666382">
        <w:t xml:space="preserve"> les différents services rendus aux sépultures. (5).</w:t>
      </w:r>
      <w:r w:rsidR="0014094F">
        <w:t xml:space="preserve"> En effet aucune trace </w:t>
      </w:r>
      <w:r w:rsidR="00E30583">
        <w:t xml:space="preserve">d’objets, et </w:t>
      </w:r>
      <w:r w:rsidR="0014094F">
        <w:t>de  vêtements, n’a été retrouvé</w:t>
      </w:r>
      <w:r w:rsidR="00715495">
        <w:t>e</w:t>
      </w:r>
      <w:r w:rsidR="0014094F">
        <w:t>, autour des ossements.</w:t>
      </w:r>
    </w:p>
    <w:p w:rsidR="00F86EFC" w:rsidRDefault="00666382" w:rsidP="00F86EFC">
      <w:r>
        <w:t xml:space="preserve">Nous avons </w:t>
      </w:r>
      <w:r w:rsidR="00380F84">
        <w:t xml:space="preserve">avec le service régional d’archéologie, </w:t>
      </w:r>
      <w:r>
        <w:t>effectué une dernière fouille</w:t>
      </w:r>
      <w:r w:rsidR="00586BBE">
        <w:t xml:space="preserve">, </w:t>
      </w:r>
      <w:r>
        <w:t xml:space="preserve"> en fin mai 2018, et nous vous en ferons le récit dans un prochain bulletin.</w:t>
      </w:r>
    </w:p>
    <w:p w:rsidR="00F86EFC" w:rsidRDefault="00F86EFC"/>
    <w:p w:rsidR="00A44764" w:rsidRDefault="00A44764"/>
    <w:p w:rsidR="00BE51EC" w:rsidRDefault="00483885">
      <w:r>
        <w:t>Bibliographie :</w:t>
      </w:r>
    </w:p>
    <w:p w:rsidR="00BE51EC" w:rsidRDefault="00BE51EC" w:rsidP="000D3467">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Pr>
          <w:rFonts w:ascii="Times New Roman" w:eastAsia="Times New Roman" w:hAnsi="Times New Roman" w:cs="Times New Roman"/>
          <w:bCs/>
          <w:lang w:eastAsia="fr-FR"/>
        </w:rPr>
        <w:t>Rapport d’analyse des ossements de Neiz Vran 2017. Département d’archéologie du Finistère. J. et</w:t>
      </w:r>
      <w:r w:rsidR="00393F06">
        <w:rPr>
          <w:rFonts w:ascii="Times New Roman" w:eastAsia="Times New Roman" w:hAnsi="Times New Roman" w:cs="Times New Roman"/>
          <w:bCs/>
          <w:lang w:eastAsia="fr-FR"/>
        </w:rPr>
        <w:t xml:space="preserve"> </w:t>
      </w:r>
      <w:r>
        <w:rPr>
          <w:rFonts w:ascii="Times New Roman" w:eastAsia="Times New Roman" w:hAnsi="Times New Roman" w:cs="Times New Roman"/>
          <w:bCs/>
          <w:lang w:eastAsia="fr-FR"/>
        </w:rPr>
        <w:t xml:space="preserve"> C. </w:t>
      </w:r>
      <w:r w:rsidR="0076147C">
        <w:rPr>
          <w:rFonts w:ascii="Times New Roman" w:eastAsia="Times New Roman" w:hAnsi="Times New Roman" w:cs="Times New Roman"/>
          <w:bCs/>
          <w:lang w:eastAsia="fr-FR"/>
        </w:rPr>
        <w:t>Abaléa</w:t>
      </w:r>
      <w:r>
        <w:rPr>
          <w:rFonts w:ascii="Times New Roman" w:eastAsia="Times New Roman" w:hAnsi="Times New Roman" w:cs="Times New Roman"/>
          <w:bCs/>
          <w:lang w:eastAsia="fr-FR"/>
        </w:rPr>
        <w:t>.</w:t>
      </w:r>
    </w:p>
    <w:p w:rsidR="00522665" w:rsidRPr="00522665" w:rsidRDefault="000D3467" w:rsidP="00522665">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sidRPr="000D3467">
        <w:rPr>
          <w:rFonts w:ascii="Times New Roman" w:eastAsia="Times New Roman" w:hAnsi="Times New Roman" w:cs="Times New Roman"/>
          <w:bCs/>
          <w:lang w:eastAsia="fr-FR"/>
        </w:rPr>
        <w:t>Procédé métrique pour la diagnose du sexe de l'os coxal</w:t>
      </w:r>
      <w:r>
        <w:rPr>
          <w:rFonts w:ascii="Times New Roman" w:eastAsia="Times New Roman" w:hAnsi="Times New Roman" w:cs="Times New Roman"/>
          <w:bCs/>
          <w:lang w:eastAsia="fr-FR"/>
        </w:rPr>
        <w:t xml:space="preserve">. </w:t>
      </w:r>
      <w:r w:rsidRPr="000D3467">
        <w:rPr>
          <w:rFonts w:ascii="Times New Roman" w:eastAsia="Times New Roman" w:hAnsi="Times New Roman" w:cs="Times New Roman"/>
          <w:bCs/>
          <w:lang w:eastAsia="fr-FR"/>
        </w:rPr>
        <w:t xml:space="preserve"> </w:t>
      </w:r>
      <w:hyperlink r:id="rId8" w:tooltip="Informations sur cette personne" w:history="1">
        <w:r w:rsidRPr="000D3467">
          <w:rPr>
            <w:rFonts w:ascii="Times New Roman" w:eastAsia="Times New Roman" w:hAnsi="Times New Roman" w:cs="Times New Roman"/>
            <w:lang w:eastAsia="fr-FR"/>
          </w:rPr>
          <w:t>R. Orban-Segebarth</w:t>
        </w:r>
      </w:hyperlink>
      <w:r w:rsidRPr="000D3467">
        <w:rPr>
          <w:rFonts w:ascii="Times New Roman" w:eastAsia="Times New Roman" w:hAnsi="Times New Roman" w:cs="Times New Roman"/>
          <w:lang w:eastAsia="fr-FR"/>
        </w:rPr>
        <w:t> </w:t>
      </w:r>
      <w:r w:rsidRPr="000D3467">
        <w:rPr>
          <w:rFonts w:ascii="Times New Roman" w:eastAsia="Times New Roman" w:hAnsi="Times New Roman" w:cs="Times New Roman"/>
          <w:bCs/>
          <w:lang w:eastAsia="fr-FR"/>
        </w:rPr>
        <w:t xml:space="preserve">: </w:t>
      </w:r>
      <w:hyperlink r:id="rId9" w:history="1">
        <w:r w:rsidRPr="000D3467">
          <w:rPr>
            <w:rFonts w:ascii="Times New Roman" w:eastAsia="Times New Roman" w:hAnsi="Times New Roman" w:cs="Times New Roman"/>
            <w:lang w:eastAsia="fr-FR"/>
          </w:rPr>
          <w:t>Bulletins et Mémoires de la Société d'Anthropologie de Paris</w:t>
        </w:r>
      </w:hyperlink>
      <w:r w:rsidRPr="000D3467">
        <w:rPr>
          <w:rFonts w:ascii="Times New Roman" w:eastAsia="Times New Roman" w:hAnsi="Times New Roman" w:cs="Times New Roman"/>
          <w:lang w:eastAsia="fr-FR"/>
        </w:rPr>
        <w:t xml:space="preserve"> Année 1984 </w:t>
      </w:r>
      <w:hyperlink r:id="rId10" w:history="1">
        <w:r w:rsidRPr="000D3467">
          <w:rPr>
            <w:rFonts w:ascii="Times New Roman" w:eastAsia="Times New Roman" w:hAnsi="Times New Roman" w:cs="Times New Roman"/>
            <w:lang w:eastAsia="fr-FR"/>
          </w:rPr>
          <w:t>1-1</w:t>
        </w:r>
      </w:hyperlink>
      <w:r w:rsidRPr="000D3467">
        <w:rPr>
          <w:rFonts w:ascii="Times New Roman" w:eastAsia="Times New Roman" w:hAnsi="Times New Roman" w:cs="Times New Roman"/>
          <w:lang w:eastAsia="fr-FR"/>
        </w:rPr>
        <w:t xml:space="preserve"> pp. 5-12 </w:t>
      </w:r>
    </w:p>
    <w:p w:rsidR="000D3467" w:rsidRPr="00522665" w:rsidRDefault="000D3467" w:rsidP="00522665">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sidRPr="00522665">
        <w:rPr>
          <w:rFonts w:ascii="Times New Roman" w:eastAsia="Times New Roman" w:hAnsi="Times New Roman" w:cs="Times New Roman"/>
          <w:bCs/>
          <w:lang w:eastAsia="fr-FR"/>
        </w:rPr>
        <w:t xml:space="preserve">L'estimation de la stature par les os longs des membres. </w:t>
      </w:r>
      <w:hyperlink r:id="rId11" w:tooltip="Informations sur cette personne" w:history="1">
        <w:r w:rsidR="00CD7995">
          <w:rPr>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m-link" href="https://www.persee.fr/authority/62210" title="&quot;Informations sur cette personne&quot;" style="width:24pt;height:24pt" o:button="t"/>
          </w:pict>
        </w:r>
        <w:r w:rsidRPr="00522665">
          <w:rPr>
            <w:rFonts w:ascii="Times New Roman" w:eastAsia="Times New Roman" w:hAnsi="Times New Roman" w:cs="Times New Roman"/>
            <w:lang w:eastAsia="fr-FR"/>
          </w:rPr>
          <w:t xml:space="preserve">G. Olivier : </w:t>
        </w:r>
      </w:hyperlink>
      <w:hyperlink r:id="rId12" w:history="1">
        <w:r w:rsidRPr="00522665">
          <w:rPr>
            <w:rFonts w:ascii="Times New Roman" w:eastAsia="Times New Roman" w:hAnsi="Times New Roman" w:cs="Times New Roman"/>
            <w:lang w:eastAsia="fr-FR"/>
          </w:rPr>
          <w:t>Bulletins et Mémoires de la Société d'Anthropologie de Paris</w:t>
        </w:r>
      </w:hyperlink>
      <w:r w:rsidRPr="00522665">
        <w:rPr>
          <w:rFonts w:ascii="Times New Roman" w:eastAsia="Times New Roman" w:hAnsi="Times New Roman" w:cs="Times New Roman"/>
          <w:lang w:eastAsia="fr-FR"/>
        </w:rPr>
        <w:t xml:space="preserve"> Année 1963 </w:t>
      </w:r>
      <w:hyperlink r:id="rId13" w:history="1">
        <w:r w:rsidRPr="00522665">
          <w:rPr>
            <w:rFonts w:ascii="Times New Roman" w:eastAsia="Times New Roman" w:hAnsi="Times New Roman" w:cs="Times New Roman"/>
            <w:lang w:eastAsia="fr-FR"/>
          </w:rPr>
          <w:t>4-3</w:t>
        </w:r>
      </w:hyperlink>
      <w:r w:rsidRPr="00522665">
        <w:rPr>
          <w:rFonts w:ascii="Times New Roman" w:eastAsia="Times New Roman" w:hAnsi="Times New Roman" w:cs="Times New Roman"/>
          <w:lang w:eastAsia="fr-FR"/>
        </w:rPr>
        <w:t xml:space="preserve"> pp. 433-449 </w:t>
      </w:r>
    </w:p>
    <w:p w:rsidR="00F86EFC" w:rsidRPr="00F86EFC" w:rsidRDefault="00F86EFC" w:rsidP="000D3467">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Pr>
          <w:rFonts w:ascii="Times New Roman" w:eastAsia="Times New Roman" w:hAnsi="Times New Roman" w:cs="Times New Roman"/>
          <w:lang w:eastAsia="fr-FR"/>
        </w:rPr>
        <w:t xml:space="preserve">Bulletin Environnement et patrimoine N° 95 : Naufrage de l’Indian… Luc </w:t>
      </w:r>
      <w:r w:rsidR="0076147C">
        <w:rPr>
          <w:rFonts w:ascii="Times New Roman" w:eastAsia="Times New Roman" w:hAnsi="Times New Roman" w:cs="Times New Roman"/>
          <w:lang w:eastAsia="fr-FR"/>
        </w:rPr>
        <w:t>Drévès pp</w:t>
      </w:r>
      <w:r>
        <w:rPr>
          <w:rFonts w:ascii="Times New Roman" w:eastAsia="Times New Roman" w:hAnsi="Times New Roman" w:cs="Times New Roman"/>
          <w:lang w:eastAsia="fr-FR"/>
        </w:rPr>
        <w:t xml:space="preserve"> 10 à 23.</w:t>
      </w:r>
    </w:p>
    <w:p w:rsidR="008614AA" w:rsidRPr="0093486D" w:rsidRDefault="008614AA" w:rsidP="000D3467">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Pr>
          <w:rFonts w:ascii="Times New Roman" w:eastAsia="Times New Roman" w:hAnsi="Times New Roman" w:cs="Times New Roman"/>
          <w:lang w:eastAsia="fr-FR"/>
        </w:rPr>
        <w:t xml:space="preserve">Bulletin Environnement et patrimoine N° 101. </w:t>
      </w:r>
      <w:r w:rsidR="002A644C">
        <w:rPr>
          <w:rFonts w:ascii="Times New Roman" w:eastAsia="Times New Roman" w:hAnsi="Times New Roman" w:cs="Times New Roman"/>
          <w:lang w:eastAsia="fr-FR"/>
        </w:rPr>
        <w:t>Indian. Exposition à Meneham.</w:t>
      </w:r>
    </w:p>
    <w:p w:rsidR="00380F84" w:rsidRPr="00380F84" w:rsidRDefault="0093486D" w:rsidP="00380F84">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Pr>
          <w:rFonts w:ascii="Times New Roman" w:eastAsia="Times New Roman" w:hAnsi="Times New Roman" w:cs="Times New Roman"/>
          <w:lang w:eastAsia="fr-FR"/>
        </w:rPr>
        <w:t xml:space="preserve">Bulletin Environnement et patrimoine N° </w:t>
      </w:r>
      <w:r w:rsidR="00811EA7">
        <w:rPr>
          <w:rFonts w:ascii="Times New Roman" w:eastAsia="Times New Roman" w:hAnsi="Times New Roman" w:cs="Times New Roman"/>
          <w:lang w:eastAsia="fr-FR"/>
        </w:rPr>
        <w:t>30. Kerlouan et ses lieux de sépulture</w:t>
      </w:r>
      <w:r w:rsidR="00380F84">
        <w:rPr>
          <w:rFonts w:ascii="Times New Roman" w:eastAsia="Times New Roman" w:hAnsi="Times New Roman" w:cs="Times New Roman"/>
          <w:lang w:eastAsia="fr-FR"/>
        </w:rPr>
        <w:t xml:space="preserve"> du XVII° sièc</w:t>
      </w:r>
      <w:r w:rsidR="00380F84" w:rsidRPr="00380F84">
        <w:rPr>
          <w:rFonts w:ascii="Times New Roman" w:eastAsia="Times New Roman" w:hAnsi="Times New Roman" w:cs="Times New Roman"/>
          <w:lang w:eastAsia="fr-FR"/>
        </w:rPr>
        <w:t>le à nos jours.</w:t>
      </w:r>
      <w:r w:rsidR="00380F84">
        <w:rPr>
          <w:rFonts w:ascii="Times New Roman" w:eastAsia="Times New Roman" w:hAnsi="Times New Roman" w:cs="Times New Roman"/>
          <w:lang w:eastAsia="fr-FR"/>
        </w:rPr>
        <w:t xml:space="preserve"> A. U</w:t>
      </w:r>
      <w:r w:rsidR="00C30D27">
        <w:rPr>
          <w:rFonts w:ascii="Times New Roman" w:eastAsia="Times New Roman" w:hAnsi="Times New Roman" w:cs="Times New Roman"/>
          <w:lang w:eastAsia="fr-FR"/>
        </w:rPr>
        <w:t>guen</w:t>
      </w:r>
      <w:r w:rsidR="00380F84">
        <w:rPr>
          <w:rFonts w:ascii="Times New Roman" w:eastAsia="Times New Roman" w:hAnsi="Times New Roman" w:cs="Times New Roman"/>
          <w:lang w:eastAsia="fr-FR"/>
        </w:rPr>
        <w:t>. pp 6 à 20.</w:t>
      </w:r>
    </w:p>
    <w:p w:rsidR="00FD2372" w:rsidRPr="00393F06" w:rsidRDefault="00FD2372" w:rsidP="000D3467">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Pr>
          <w:rFonts w:ascii="Times New Roman" w:eastAsia="Times New Roman" w:hAnsi="Times New Roman" w:cs="Times New Roman"/>
          <w:lang w:eastAsia="fr-FR"/>
        </w:rPr>
        <w:t xml:space="preserve">Vivre en basse –Bretagne </w:t>
      </w:r>
      <w:r w:rsidR="002A644C">
        <w:rPr>
          <w:rFonts w:ascii="Times New Roman" w:eastAsia="Times New Roman" w:hAnsi="Times New Roman" w:cs="Times New Roman"/>
          <w:lang w:eastAsia="fr-FR"/>
        </w:rPr>
        <w:t xml:space="preserve">au XVII° </w:t>
      </w:r>
      <w:r>
        <w:rPr>
          <w:rFonts w:ascii="Times New Roman" w:eastAsia="Times New Roman" w:hAnsi="Times New Roman" w:cs="Times New Roman"/>
          <w:lang w:eastAsia="fr-FR"/>
        </w:rPr>
        <w:t xml:space="preserve">siècle. </w:t>
      </w:r>
      <w:r w:rsidRPr="00277E29">
        <w:rPr>
          <w:rFonts w:ascii="Times New Roman" w:eastAsia="Times New Roman" w:hAnsi="Times New Roman" w:cs="Times New Roman"/>
          <w:lang w:val="en-US" w:eastAsia="fr-FR"/>
        </w:rPr>
        <w:t>J.P. Hirrien</w:t>
      </w:r>
      <w:r w:rsidR="00BB34DB" w:rsidRPr="00277E29">
        <w:rPr>
          <w:rFonts w:ascii="Times New Roman" w:eastAsia="Times New Roman" w:hAnsi="Times New Roman" w:cs="Times New Roman"/>
          <w:lang w:val="en-US" w:eastAsia="fr-FR"/>
        </w:rPr>
        <w:t xml:space="preserve">. Ed Label LN, 2007. </w:t>
      </w:r>
      <w:r w:rsidR="00BB34DB" w:rsidRPr="002A644C">
        <w:rPr>
          <w:rFonts w:ascii="Times New Roman" w:eastAsia="Times New Roman" w:hAnsi="Times New Roman" w:cs="Times New Roman"/>
          <w:lang w:eastAsia="fr-FR"/>
        </w:rPr>
        <w:t>P</w:t>
      </w:r>
      <w:r w:rsidR="00380F84">
        <w:rPr>
          <w:rFonts w:ascii="Times New Roman" w:eastAsia="Times New Roman" w:hAnsi="Times New Roman" w:cs="Times New Roman"/>
          <w:lang w:eastAsia="fr-FR"/>
        </w:rPr>
        <w:t xml:space="preserve"> </w:t>
      </w:r>
      <w:r w:rsidR="00BB34DB" w:rsidRPr="002A644C">
        <w:rPr>
          <w:rFonts w:ascii="Times New Roman" w:eastAsia="Times New Roman" w:hAnsi="Times New Roman" w:cs="Times New Roman"/>
          <w:lang w:eastAsia="fr-FR"/>
        </w:rPr>
        <w:t>177</w:t>
      </w:r>
    </w:p>
    <w:p w:rsidR="0004336E" w:rsidRPr="0004336E" w:rsidRDefault="00393F06" w:rsidP="0004336E">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Cs/>
          <w:lang w:eastAsia="fr-FR"/>
        </w:rPr>
      </w:pPr>
      <w:r w:rsidRPr="001C72F7">
        <w:rPr>
          <w:rFonts w:ascii="Times New Roman" w:eastAsia="Times New Roman" w:hAnsi="Times New Roman" w:cs="Times New Roman"/>
          <w:lang w:eastAsia="fr-FR"/>
        </w:rPr>
        <w:t>Bulletin Environnement et patrimoine N°</w:t>
      </w:r>
      <w:r w:rsidR="001C72F7" w:rsidRPr="001C72F7">
        <w:rPr>
          <w:rFonts w:ascii="Times New Roman" w:eastAsia="Times New Roman" w:hAnsi="Times New Roman" w:cs="Times New Roman"/>
          <w:lang w:eastAsia="fr-FR"/>
        </w:rPr>
        <w:t xml:space="preserve"> 119</w:t>
      </w:r>
      <w:r w:rsidRPr="001C72F7">
        <w:rPr>
          <w:rFonts w:ascii="Times New Roman" w:eastAsia="Times New Roman" w:hAnsi="Times New Roman" w:cs="Times New Roman"/>
          <w:lang w:eastAsia="fr-FR"/>
        </w:rPr>
        <w:t xml:space="preserve"> . La chapelle des noyés.</w:t>
      </w:r>
      <w:r w:rsidR="0004336E">
        <w:rPr>
          <w:rFonts w:ascii="Times New Roman" w:eastAsia="Times New Roman" w:hAnsi="Times New Roman" w:cs="Times New Roman"/>
          <w:lang w:eastAsia="fr-FR"/>
        </w:rPr>
        <w:t xml:space="preserve"> </w:t>
      </w:r>
      <w:r w:rsidR="0076147C" w:rsidRPr="0004336E">
        <w:rPr>
          <w:rFonts w:ascii="Times New Roman" w:eastAsia="Times New Roman" w:hAnsi="Times New Roman" w:cs="Times New Roman"/>
          <w:lang w:eastAsia="fr-FR"/>
        </w:rPr>
        <w:t>Extraits de</w:t>
      </w:r>
      <w:r w:rsidR="0076147C">
        <w:rPr>
          <w:rFonts w:ascii="Times New Roman" w:eastAsia="Times New Roman" w:hAnsi="Times New Roman" w:cs="Times New Roman"/>
          <w:lang w:eastAsia="fr-FR"/>
        </w:rPr>
        <w:t xml:space="preserve"> </w:t>
      </w:r>
      <w:r w:rsidR="0076147C" w:rsidRPr="0004336E">
        <w:rPr>
          <w:rFonts w:ascii="Times New Roman" w:eastAsia="Times New Roman" w:hAnsi="Times New Roman" w:cs="Times New Roman"/>
          <w:lang w:eastAsia="fr-FR"/>
        </w:rPr>
        <w:t xml:space="preserve"> « les derniers bretons</w:t>
      </w:r>
      <w:r w:rsidR="0076147C">
        <w:rPr>
          <w:rFonts w:ascii="Times New Roman" w:eastAsia="Times New Roman" w:hAnsi="Times New Roman" w:cs="Times New Roman"/>
          <w:lang w:eastAsia="fr-FR"/>
        </w:rPr>
        <w:t xml:space="preserve"> »  par  </w:t>
      </w:r>
      <w:r w:rsidR="0076147C" w:rsidRPr="0004336E">
        <w:rPr>
          <w:rFonts w:ascii="Times New Roman" w:eastAsia="Times New Roman" w:hAnsi="Times New Roman" w:cs="Times New Roman"/>
          <w:lang w:eastAsia="fr-FR"/>
        </w:rPr>
        <w:t>E. Souvestre.</w:t>
      </w:r>
    </w:p>
    <w:p w:rsidR="00483885" w:rsidRDefault="00483885"/>
    <w:p w:rsidR="0014094F" w:rsidRDefault="0014094F"/>
    <w:sectPr w:rsidR="0014094F" w:rsidSect="00EE31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2CEA"/>
    <w:multiLevelType w:val="multilevel"/>
    <w:tmpl w:val="80D2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617E9B"/>
    <w:multiLevelType w:val="hybridMultilevel"/>
    <w:tmpl w:val="01404C7A"/>
    <w:lvl w:ilvl="0" w:tplc="8130A06E">
      <w:start w:val="1"/>
      <w:numFmt w:val="decimal"/>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2">
    <w:nsid w:val="71C02289"/>
    <w:multiLevelType w:val="hybridMultilevel"/>
    <w:tmpl w:val="FFB0BAC4"/>
    <w:lvl w:ilvl="0" w:tplc="377E3A68">
      <w:start w:val="1"/>
      <w:numFmt w:val="decimal"/>
      <w:lvlText w:val="(%1)"/>
      <w:lvlJc w:val="left"/>
      <w:pPr>
        <w:ind w:left="390" w:hanging="360"/>
      </w:pPr>
      <w:rPr>
        <w:rFonts w:hint="default"/>
      </w:rPr>
    </w:lvl>
    <w:lvl w:ilvl="1" w:tplc="040C0019" w:tentative="1">
      <w:start w:val="1"/>
      <w:numFmt w:val="lowerLetter"/>
      <w:lvlText w:val="%2."/>
      <w:lvlJc w:val="left"/>
      <w:pPr>
        <w:ind w:left="1110" w:hanging="360"/>
      </w:pPr>
    </w:lvl>
    <w:lvl w:ilvl="2" w:tplc="040C001B" w:tentative="1">
      <w:start w:val="1"/>
      <w:numFmt w:val="lowerRoman"/>
      <w:lvlText w:val="%3."/>
      <w:lvlJc w:val="right"/>
      <w:pPr>
        <w:ind w:left="1830" w:hanging="180"/>
      </w:pPr>
    </w:lvl>
    <w:lvl w:ilvl="3" w:tplc="040C000F" w:tentative="1">
      <w:start w:val="1"/>
      <w:numFmt w:val="decimal"/>
      <w:lvlText w:val="%4."/>
      <w:lvlJc w:val="left"/>
      <w:pPr>
        <w:ind w:left="2550" w:hanging="360"/>
      </w:pPr>
    </w:lvl>
    <w:lvl w:ilvl="4" w:tplc="040C0019" w:tentative="1">
      <w:start w:val="1"/>
      <w:numFmt w:val="lowerLetter"/>
      <w:lvlText w:val="%5."/>
      <w:lvlJc w:val="left"/>
      <w:pPr>
        <w:ind w:left="3270" w:hanging="360"/>
      </w:pPr>
    </w:lvl>
    <w:lvl w:ilvl="5" w:tplc="040C001B" w:tentative="1">
      <w:start w:val="1"/>
      <w:numFmt w:val="lowerRoman"/>
      <w:lvlText w:val="%6."/>
      <w:lvlJc w:val="right"/>
      <w:pPr>
        <w:ind w:left="3990" w:hanging="180"/>
      </w:pPr>
    </w:lvl>
    <w:lvl w:ilvl="6" w:tplc="040C000F" w:tentative="1">
      <w:start w:val="1"/>
      <w:numFmt w:val="decimal"/>
      <w:lvlText w:val="%7."/>
      <w:lvlJc w:val="left"/>
      <w:pPr>
        <w:ind w:left="4710" w:hanging="360"/>
      </w:pPr>
    </w:lvl>
    <w:lvl w:ilvl="7" w:tplc="040C0019" w:tentative="1">
      <w:start w:val="1"/>
      <w:numFmt w:val="lowerLetter"/>
      <w:lvlText w:val="%8."/>
      <w:lvlJc w:val="left"/>
      <w:pPr>
        <w:ind w:left="5430" w:hanging="360"/>
      </w:pPr>
    </w:lvl>
    <w:lvl w:ilvl="8" w:tplc="040C001B" w:tentative="1">
      <w:start w:val="1"/>
      <w:numFmt w:val="lowerRoman"/>
      <w:lvlText w:val="%9."/>
      <w:lvlJc w:val="right"/>
      <w:pPr>
        <w:ind w:left="6150" w:hanging="180"/>
      </w:pPr>
    </w:lvl>
  </w:abstractNum>
  <w:abstractNum w:abstractNumId="3">
    <w:nsid w:val="7B9F43D5"/>
    <w:multiLevelType w:val="hybridMultilevel"/>
    <w:tmpl w:val="8F4CEE38"/>
    <w:lvl w:ilvl="0" w:tplc="9EF003A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3114EF"/>
    <w:rsid w:val="0004336E"/>
    <w:rsid w:val="00050DCC"/>
    <w:rsid w:val="00061E5E"/>
    <w:rsid w:val="000D3467"/>
    <w:rsid w:val="000F25AD"/>
    <w:rsid w:val="00110981"/>
    <w:rsid w:val="0014094F"/>
    <w:rsid w:val="001C72F7"/>
    <w:rsid w:val="0026789F"/>
    <w:rsid w:val="00277E29"/>
    <w:rsid w:val="002A644C"/>
    <w:rsid w:val="003114EF"/>
    <w:rsid w:val="00380F84"/>
    <w:rsid w:val="00393F06"/>
    <w:rsid w:val="003977C5"/>
    <w:rsid w:val="003F4913"/>
    <w:rsid w:val="00483885"/>
    <w:rsid w:val="004B1205"/>
    <w:rsid w:val="004D0C06"/>
    <w:rsid w:val="004E2DA8"/>
    <w:rsid w:val="00522665"/>
    <w:rsid w:val="0052561E"/>
    <w:rsid w:val="00586BBE"/>
    <w:rsid w:val="00666382"/>
    <w:rsid w:val="00705606"/>
    <w:rsid w:val="00715495"/>
    <w:rsid w:val="0076147C"/>
    <w:rsid w:val="00811EA7"/>
    <w:rsid w:val="008529B4"/>
    <w:rsid w:val="008614AA"/>
    <w:rsid w:val="008D538F"/>
    <w:rsid w:val="009326AA"/>
    <w:rsid w:val="0093486D"/>
    <w:rsid w:val="00981C29"/>
    <w:rsid w:val="009C3961"/>
    <w:rsid w:val="00A44764"/>
    <w:rsid w:val="00A60FC8"/>
    <w:rsid w:val="00A900FE"/>
    <w:rsid w:val="00AF6101"/>
    <w:rsid w:val="00BB34DB"/>
    <w:rsid w:val="00BC7DB2"/>
    <w:rsid w:val="00BE51EC"/>
    <w:rsid w:val="00C20994"/>
    <w:rsid w:val="00C30D27"/>
    <w:rsid w:val="00C516A3"/>
    <w:rsid w:val="00C62ABA"/>
    <w:rsid w:val="00CB0767"/>
    <w:rsid w:val="00CB52F1"/>
    <w:rsid w:val="00CD7995"/>
    <w:rsid w:val="00D32ED8"/>
    <w:rsid w:val="00D57674"/>
    <w:rsid w:val="00E07D3F"/>
    <w:rsid w:val="00E17E18"/>
    <w:rsid w:val="00E30583"/>
    <w:rsid w:val="00EE317E"/>
    <w:rsid w:val="00F617C1"/>
    <w:rsid w:val="00F86EFC"/>
    <w:rsid w:val="00FB1E07"/>
    <w:rsid w:val="00FC0DEA"/>
    <w:rsid w:val="00FD237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17E"/>
  </w:style>
  <w:style w:type="paragraph" w:styleId="Titre1">
    <w:name w:val="heading 1"/>
    <w:basedOn w:val="Normal"/>
    <w:next w:val="Normal"/>
    <w:link w:val="Titre1Car"/>
    <w:uiPriority w:val="9"/>
    <w:qFormat/>
    <w:rsid w:val="00D32E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32E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17E1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D32ED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D32ED8"/>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8D53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538F"/>
    <w:rPr>
      <w:rFonts w:ascii="Tahoma" w:hAnsi="Tahoma" w:cs="Tahoma"/>
      <w:sz w:val="16"/>
      <w:szCs w:val="16"/>
    </w:rPr>
  </w:style>
  <w:style w:type="paragraph" w:styleId="Lgende">
    <w:name w:val="caption"/>
    <w:basedOn w:val="Normal"/>
    <w:next w:val="Normal"/>
    <w:uiPriority w:val="35"/>
    <w:unhideWhenUsed/>
    <w:qFormat/>
    <w:rsid w:val="008D538F"/>
    <w:pPr>
      <w:spacing w:line="240" w:lineRule="auto"/>
    </w:pPr>
    <w:rPr>
      <w:b/>
      <w:bCs/>
      <w:color w:val="4F81BD" w:themeColor="accent1"/>
      <w:sz w:val="18"/>
      <w:szCs w:val="18"/>
    </w:rPr>
  </w:style>
  <w:style w:type="paragraph" w:styleId="Paragraphedeliste">
    <w:name w:val="List Paragraph"/>
    <w:basedOn w:val="Normal"/>
    <w:uiPriority w:val="34"/>
    <w:qFormat/>
    <w:rsid w:val="000D3467"/>
    <w:pPr>
      <w:ind w:left="720"/>
      <w:contextualSpacing/>
    </w:pPr>
  </w:style>
  <w:style w:type="character" w:styleId="lev">
    <w:name w:val="Strong"/>
    <w:basedOn w:val="Policepardfaut"/>
    <w:uiPriority w:val="22"/>
    <w:qFormat/>
    <w:rsid w:val="00F617C1"/>
    <w:rPr>
      <w:b/>
      <w:bCs/>
    </w:rPr>
  </w:style>
</w:styles>
</file>

<file path=word/webSettings.xml><?xml version="1.0" encoding="utf-8"?>
<w:webSettings xmlns:r="http://schemas.openxmlformats.org/officeDocument/2006/relationships" xmlns:w="http://schemas.openxmlformats.org/wordprocessingml/2006/main">
  <w:divs>
    <w:div w:id="1877309453">
      <w:bodyDiv w:val="1"/>
      <w:marLeft w:val="0"/>
      <w:marRight w:val="0"/>
      <w:marTop w:val="0"/>
      <w:marBottom w:val="0"/>
      <w:divBdr>
        <w:top w:val="none" w:sz="0" w:space="0" w:color="auto"/>
        <w:left w:val="none" w:sz="0" w:space="0" w:color="auto"/>
        <w:bottom w:val="none" w:sz="0" w:space="0" w:color="auto"/>
        <w:right w:val="none" w:sz="0" w:space="0" w:color="auto"/>
      </w:divBdr>
      <w:divsChild>
        <w:div w:id="1750540143">
          <w:marLeft w:val="0"/>
          <w:marRight w:val="0"/>
          <w:marTop w:val="0"/>
          <w:marBottom w:val="0"/>
          <w:divBdr>
            <w:top w:val="none" w:sz="0" w:space="0" w:color="auto"/>
            <w:left w:val="none" w:sz="0" w:space="0" w:color="auto"/>
            <w:bottom w:val="none" w:sz="0" w:space="0" w:color="auto"/>
            <w:right w:val="none" w:sz="0" w:space="0" w:color="auto"/>
          </w:divBdr>
          <w:divsChild>
            <w:div w:id="7332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see.fr/authority/73104" TargetMode="External"/><Relationship Id="rId13" Type="http://schemas.openxmlformats.org/officeDocument/2006/relationships/hyperlink" Target="https://www.persee.fr/issue/bmsap_0037-8984_1963_num_4_3?sectionId=bmsap_0037-8984_1963_num_4_3_1262"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persee.fr/collection/bmsa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persee.fr/authority/6221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persee.fr/issue/bmsap_0037-8984_1984_num_1_1?sectionId=bmsap_0037-8984_1984_num_1_1_3921" TargetMode="External"/><Relationship Id="rId4" Type="http://schemas.openxmlformats.org/officeDocument/2006/relationships/webSettings" Target="webSettings.xml"/><Relationship Id="rId9" Type="http://schemas.openxmlformats.org/officeDocument/2006/relationships/hyperlink" Target="http://www.persee.fr/collection/bmsap"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2989</TotalTime>
  <Pages>4</Pages>
  <Words>1163</Words>
  <Characters>6402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ca</Company>
  <LinksUpToDate>false</LinksUpToDate>
  <CharactersWithSpaces>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32</cp:revision>
  <dcterms:created xsi:type="dcterms:W3CDTF">2018-06-05T16:09:00Z</dcterms:created>
  <dcterms:modified xsi:type="dcterms:W3CDTF">2018-06-17T20:49:00Z</dcterms:modified>
</cp:coreProperties>
</file>